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10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Normal"/>
        <w:spacing w:before="54" w:after="0"/>
        <w:ind w:left="124" w:right="0" w:hanging="0"/>
        <w:jc w:val="left"/>
        <w:rPr>
          <w:sz w:val="14"/>
        </w:rPr>
      </w:pPr>
      <w:r>
        <w:rPr>
          <w:sz w:val="14"/>
        </w:rPr>
        <w:t>8</w:t>
      </w:r>
    </w:p>
    <w:p>
      <w:pPr>
        <w:pStyle w:val="Normal"/>
        <w:tabs>
          <w:tab w:val="left" w:pos="1661" w:leader="none"/>
        </w:tabs>
        <w:spacing w:before="0" w:after="0"/>
        <w:ind w:left="124" w:right="0" w:hanging="0"/>
        <w:jc w:val="left"/>
        <w:rPr>
          <w:sz w:val="24"/>
        </w:rPr>
      </w:pPr>
      <w:r>
        <w:rPr>
          <w:b/>
          <w:sz w:val="24"/>
        </w:rPr>
        <w:t>Autos nº</w:t>
        <w:tab/>
        <w:t xml:space="preserve">: </w:t>
      </w:r>
      <w:r>
        <w:rPr>
          <w:sz w:val="24"/>
        </w:rPr>
        <w:t>1831/2015 - 201502991920</w:t>
      </w:r>
    </w:p>
    <w:p>
      <w:pPr>
        <w:pStyle w:val="Normal"/>
        <w:tabs>
          <w:tab w:val="left" w:pos="1663" w:leader="none"/>
        </w:tabs>
        <w:spacing w:before="0" w:after="0"/>
        <w:ind w:left="124" w:right="3937" w:hanging="0"/>
        <w:jc w:val="left"/>
        <w:rPr/>
      </w:pPr>
      <w:r>
        <w:rPr>
          <w:b/>
          <w:sz w:val="24"/>
        </w:rPr>
        <w:t>Natureza</w:t>
        <w:tab/>
        <w:t xml:space="preserve">: </w:t>
      </w:r>
      <w:r>
        <w:rPr>
          <w:sz w:val="24"/>
        </w:rPr>
        <w:t>Interdição (curatela</w:t>
      </w:r>
      <w:r>
        <w:rPr>
          <w:spacing w:val="0"/>
          <w:sz w:val="24"/>
        </w:rPr>
        <w:t xml:space="preserve"> </w:t>
      </w:r>
      <w:r>
        <w:rPr>
          <w:sz w:val="24"/>
        </w:rPr>
        <w:t>de</w:t>
      </w:r>
      <w:r>
        <w:rPr>
          <w:spacing w:val="0"/>
          <w:sz w:val="24"/>
        </w:rPr>
        <w:t xml:space="preserve"> </w:t>
      </w:r>
      <w:r>
        <w:rPr>
          <w:sz w:val="24"/>
        </w:rPr>
        <w:t xml:space="preserve">interditos) </w:t>
      </w:r>
      <w:r>
        <w:rPr>
          <w:b/>
          <w:sz w:val="24"/>
        </w:rPr>
        <w:t xml:space="preserve">Requerente(s): </w:t>
      </w:r>
      <w:r>
        <w:rPr>
          <w:sz w:val="24"/>
        </w:rPr>
        <w:t>P. de F. D.</w:t>
      </w:r>
    </w:p>
    <w:p>
      <w:pPr>
        <w:pStyle w:val="Normal"/>
        <w:tabs>
          <w:tab w:val="left" w:pos="1663" w:leader="none"/>
        </w:tabs>
        <w:spacing w:before="0" w:after="0"/>
        <w:ind w:left="124" w:right="3937" w:hanging="0"/>
        <w:jc w:val="left"/>
        <w:rPr/>
      </w:pPr>
      <w:r>
        <w:rPr>
          <w:sz w:val="24"/>
        </w:rPr>
        <w:t xml:space="preserve"> </w:t>
      </w:r>
      <w:r>
        <w:rPr>
          <w:b/>
          <w:sz w:val="24"/>
        </w:rPr>
        <w:t xml:space="preserve">Requerido(s)  : </w:t>
      </w:r>
      <w:bookmarkStart w:id="0" w:name="__DdeLink__488_503824720"/>
      <w:r>
        <w:rPr>
          <w:sz w:val="24"/>
        </w:rPr>
        <w:t>J. P. de F.</w:t>
      </w:r>
      <w:r>
        <w:rPr>
          <w:spacing w:val="0"/>
          <w:sz w:val="24"/>
        </w:rPr>
        <w:t xml:space="preserve"> </w:t>
      </w:r>
      <w:bookmarkEnd w:id="0"/>
      <w:r>
        <w:rPr>
          <w:sz w:val="24"/>
        </w:rPr>
        <w:t>D.</w:t>
      </w:r>
    </w:p>
    <w:p>
      <w:pPr>
        <w:pStyle w:val="TextBody"/>
        <w:rPr/>
      </w:pPr>
      <w:r>
        <w:rPr/>
      </w:r>
    </w:p>
    <w:p>
      <w:pPr>
        <w:pStyle w:val="TextBody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3462" w:right="135" w:hanging="0"/>
        <w:jc w:val="both"/>
        <w:rPr>
          <w:sz w:val="24"/>
        </w:rPr>
      </w:pPr>
      <w:r>
        <w:rPr>
          <w:i/>
          <w:sz w:val="24"/>
        </w:rPr>
        <w:t>“</w:t>
      </w:r>
      <w:r>
        <w:rPr>
          <w:i/>
          <w:sz w:val="24"/>
        </w:rPr>
        <w:t xml:space="preserve">Ser livre é não ser escravo das culpas do passado nem das preocupações do amanhã. Ser livre é ter tempo para as coisas que se ama. É </w:t>
      </w:r>
      <w:r>
        <w:rPr>
          <w:i/>
          <w:spacing w:val="0"/>
          <w:sz w:val="24"/>
        </w:rPr>
        <w:t xml:space="preserve">abraçar, </w:t>
      </w:r>
      <w:r>
        <w:rPr>
          <w:i/>
          <w:sz w:val="24"/>
        </w:rPr>
        <w:t xml:space="preserve">se </w:t>
      </w:r>
      <w:r>
        <w:rPr>
          <w:i/>
          <w:spacing w:val="0"/>
          <w:sz w:val="24"/>
        </w:rPr>
        <w:t xml:space="preserve">entregar,  sonhar,  </w:t>
      </w:r>
      <w:r>
        <w:rPr>
          <w:i/>
          <w:sz w:val="24"/>
        </w:rPr>
        <w:t xml:space="preserve">recomeçar tudo de novo. É desenvolver a arte de pensar e proteger a emoção. Mas, acima de tudo, ser livre é ter um caso de amor com a própria existência e desvendar seus mistérios”. </w:t>
      </w:r>
      <w:r>
        <w:rPr>
          <w:sz w:val="24"/>
        </w:rPr>
        <w:t>(Augusto</w:t>
      </w:r>
      <w:r>
        <w:rPr>
          <w:spacing w:val="0"/>
          <w:sz w:val="24"/>
        </w:rPr>
        <w:t xml:space="preserve"> </w:t>
      </w:r>
      <w:r>
        <w:rPr>
          <w:sz w:val="24"/>
        </w:rPr>
        <w:t>Cury)</w:t>
      </w:r>
    </w:p>
    <w:p>
      <w:pPr>
        <w:pStyle w:val="TextBody"/>
        <w:rPr/>
      </w:pPr>
      <w:r>
        <w:rPr/>
      </w:r>
    </w:p>
    <w:p>
      <w:pPr>
        <w:pStyle w:val="TextBody"/>
        <w:spacing w:before="13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3396" w:right="3381" w:hanging="0"/>
        <w:jc w:val="center"/>
        <w:rPr>
          <w:b/>
          <w:b/>
          <w:sz w:val="32"/>
        </w:rPr>
      </w:pPr>
      <w:r>
        <w:rPr>
          <w:b/>
          <w:sz w:val="32"/>
        </w:rPr>
        <w:t>S E N T E N Ç A</w:t>
      </w:r>
    </w:p>
    <w:p>
      <w:pPr>
        <w:pStyle w:val="TextBody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216" w:after="0"/>
        <w:ind w:left="104" w:right="105" w:firstLine="1694"/>
        <w:jc w:val="both"/>
        <w:rPr>
          <w:sz w:val="24"/>
        </w:rPr>
      </w:pPr>
      <w:r>
        <w:rPr>
          <w:sz w:val="24"/>
        </w:rPr>
        <w:t xml:space="preserve">Trata-se de </w:t>
      </w:r>
      <w:r>
        <w:rPr>
          <w:b/>
          <w:sz w:val="24"/>
        </w:rPr>
        <w:t>Ação de Interdição</w:t>
      </w:r>
      <w:r>
        <w:rPr>
          <w:sz w:val="24"/>
        </w:rPr>
        <w:t xml:space="preserve">, aforada por </w:t>
      </w:r>
      <w:r>
        <w:rPr>
          <w:b/>
          <w:sz w:val="24"/>
        </w:rPr>
        <w:t>P. de F. D.</w:t>
      </w:r>
      <w:r>
        <w:rPr>
          <w:sz w:val="24"/>
        </w:rPr>
        <w:t xml:space="preserve">, em face de </w:t>
      </w:r>
      <w:r>
        <w:rPr>
          <w:b/>
          <w:sz w:val="24"/>
        </w:rPr>
        <w:t>J. P. de F.</w:t>
      </w:r>
      <w:r>
        <w:rPr>
          <w:b/>
          <w:spacing w:val="0"/>
          <w:sz w:val="24"/>
        </w:rPr>
        <w:t xml:space="preserve"> </w:t>
      </w:r>
      <w:r>
        <w:rPr>
          <w:b/>
          <w:sz w:val="24"/>
        </w:rPr>
        <w:t>D.</w:t>
      </w:r>
      <w:r>
        <w:rPr>
          <w:sz w:val="24"/>
        </w:rPr>
        <w:t>, ambos qualificados na inicial.</w:t>
      </w:r>
    </w:p>
    <w:p>
      <w:pPr>
        <w:pStyle w:val="TextBody"/>
        <w:rPr/>
      </w:pPr>
      <w:r>
        <w:rPr/>
      </w:r>
    </w:p>
    <w:p>
      <w:pPr>
        <w:pStyle w:val="TextBody"/>
        <w:ind w:left="104" w:right="106" w:firstLine="1694"/>
        <w:jc w:val="both"/>
        <w:rPr/>
      </w:pPr>
      <w:r>
        <w:rPr/>
        <w:t>Assevera a autora ser filha do interditando, o qual foi diagnosticado com a doença de Alzheimer, cujo CID é G.30.9, não podendo praticar os atos</w:t>
      </w:r>
      <w:r>
        <w:rPr>
          <w:spacing w:val="0"/>
        </w:rPr>
        <w:t xml:space="preserve"> </w:t>
      </w:r>
      <w:r>
        <w:rPr/>
        <w:t xml:space="preserve">próprios da vida civil. </w:t>
      </w:r>
      <w:r>
        <w:rPr>
          <w:spacing w:val="0"/>
        </w:rPr>
        <w:t xml:space="preserve">Por </w:t>
      </w:r>
      <w:r>
        <w:rPr/>
        <w:t>derradeiro, pleiteia a interdição de seu pai, bem como a nomeação para exercer o encargo de</w:t>
      </w:r>
      <w:r>
        <w:rPr>
          <w:spacing w:val="0"/>
        </w:rPr>
        <w:t xml:space="preserve"> </w:t>
      </w:r>
      <w:r>
        <w:rPr/>
        <w:t>curadora.</w:t>
      </w:r>
    </w:p>
    <w:p>
      <w:pPr>
        <w:pStyle w:val="TextBody"/>
        <w:rPr/>
      </w:pPr>
      <w:r>
        <w:rPr/>
      </w:r>
    </w:p>
    <w:p>
      <w:pPr>
        <w:pStyle w:val="TextBody"/>
        <w:ind w:left="104" w:right="118" w:firstLine="1694"/>
        <w:jc w:val="both"/>
        <w:rPr/>
      </w:pPr>
      <w:r>
        <w:rPr/>
        <w:t>A</w:t>
      </w:r>
      <w:r>
        <w:rPr>
          <w:spacing w:val="0"/>
        </w:rPr>
        <w:t xml:space="preserve"> </w:t>
      </w:r>
      <w:r>
        <w:rPr/>
        <w:t>inicial veio instruída com os documentos de fls. 07/11 e foi recebida às fls. 19/20, oportunidade em que foi concedido à autora curatela provisória do requerido e designado audiência de</w:t>
      </w:r>
      <w:r>
        <w:rPr>
          <w:spacing w:val="0"/>
        </w:rPr>
        <w:t xml:space="preserve"> </w:t>
      </w:r>
      <w:r>
        <w:rPr/>
        <w:t>interrogatório.</w:t>
      </w:r>
    </w:p>
    <w:p>
      <w:pPr>
        <w:pStyle w:val="TextBody"/>
        <w:rPr/>
      </w:pPr>
      <w:r>
        <w:rPr/>
      </w:r>
    </w:p>
    <w:p>
      <w:pPr>
        <w:pStyle w:val="TextBody"/>
        <w:ind w:left="104" w:right="111" w:firstLine="1694"/>
        <w:jc w:val="both"/>
        <w:rPr/>
      </w:pPr>
      <w:r>
        <w:rPr/>
        <w:t>Na audiência, o interditando foi entrevistado por esta Magistrada, ocasião em que o procurador da autora retificou o pedido inicial, no sentido de que fosse reconhecida a interdição parcial, e não total do interditando. O Ministério Público emitiu parecer, concordando com a retificação da autora, pugnando pela interdição parcial do requerido, com a consequente nomeação da filha para exercer a curatela.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Heading1"/>
        <w:spacing w:before="158" w:after="0"/>
        <w:rPr/>
      </w:pPr>
      <w:r>
        <w:rPr/>
        <w:t>É o relatório. Decido.</w:t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ind w:left="104" w:right="120" w:firstLine="1694"/>
        <w:jc w:val="both"/>
        <w:rPr/>
      </w:pPr>
      <w:r>
        <w:rPr/>
        <w:t>O instituto da interdição e da submissão dos interditos à curatela destinam-se à proteção dos que, embora maiores, não apresentem condições</w:t>
      </w:r>
      <w:r>
        <w:rPr>
          <w:spacing w:val="0"/>
        </w:rPr>
        <w:t xml:space="preserve"> </w:t>
      </w:r>
      <w:r>
        <w:rPr/>
        <w:t>mínimas de regência da própria vida e da administração de seu patrimônio, conforme dispõe  o art. 1.767 do Código Civil, transcrito</w:t>
      </w:r>
      <w:r>
        <w:rPr>
          <w:spacing w:val="0"/>
        </w:rPr>
        <w:t xml:space="preserve"> </w:t>
      </w:r>
      <w:r>
        <w:rPr/>
        <w:t>abaixo:</w:t>
      </w:r>
    </w:p>
    <w:p>
      <w:pPr>
        <w:pStyle w:val="TextBody"/>
        <w:rPr/>
      </w:pPr>
      <w:r>
        <w:rPr/>
      </w:r>
    </w:p>
    <w:p>
      <w:pPr>
        <w:pStyle w:val="Normal"/>
        <w:spacing w:before="0" w:after="0"/>
        <w:ind w:left="2383" w:right="0" w:hanging="0"/>
        <w:jc w:val="left"/>
        <w:rPr>
          <w:i/>
          <w:i/>
          <w:sz w:val="24"/>
        </w:rPr>
      </w:pPr>
      <w:r>
        <w:rPr>
          <w:i/>
          <w:sz w:val="24"/>
        </w:rPr>
        <w:t>"Art. 1.767. Estão sujeitos a curatela:</w:t>
      </w:r>
    </w:p>
    <w:p>
      <w:pPr>
        <w:pStyle w:val="ListParagraph"/>
        <w:numPr>
          <w:ilvl w:val="0"/>
          <w:numId w:val="1"/>
        </w:numPr>
        <w:tabs>
          <w:tab w:val="left" w:pos="2566" w:leader="none"/>
        </w:tabs>
        <w:spacing w:lineRule="auto" w:line="240" w:before="0" w:after="0"/>
        <w:ind w:left="2384" w:right="136" w:hanging="0"/>
        <w:jc w:val="left"/>
        <w:rPr>
          <w:i/>
          <w:i/>
          <w:sz w:val="24"/>
        </w:rPr>
      </w:pPr>
      <w:r>
        <w:rPr>
          <w:i/>
          <w:sz w:val="24"/>
        </w:rPr>
        <w:t>- aqueles que, por causa transitória ou permanente, não puderem exprimir sua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vontade;</w:t>
      </w:r>
    </w:p>
    <w:p>
      <w:pPr>
        <w:pStyle w:val="ListParagraph"/>
        <w:numPr>
          <w:ilvl w:val="0"/>
          <w:numId w:val="1"/>
        </w:numPr>
        <w:tabs>
          <w:tab w:val="left" w:pos="2604" w:leader="none"/>
        </w:tabs>
        <w:spacing w:lineRule="auto" w:line="240" w:before="0" w:after="0"/>
        <w:ind w:left="2384" w:right="0" w:hanging="219"/>
        <w:jc w:val="left"/>
        <w:rPr>
          <w:i/>
          <w:i/>
          <w:sz w:val="24"/>
        </w:rPr>
      </w:pPr>
      <w:r>
        <w:rPr>
          <w:i/>
          <w:sz w:val="24"/>
        </w:rPr>
        <w:t>-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  <w:u w:val="single"/>
        </w:rPr>
        <w:t>revogado)</w:t>
      </w:r>
    </w:p>
    <w:p>
      <w:pPr>
        <w:pStyle w:val="ListParagraph"/>
        <w:numPr>
          <w:ilvl w:val="0"/>
          <w:numId w:val="1"/>
        </w:numPr>
        <w:tabs>
          <w:tab w:val="left" w:pos="2684" w:leader="none"/>
        </w:tabs>
        <w:spacing w:lineRule="auto" w:line="240" w:before="0" w:after="0"/>
        <w:ind w:left="2384" w:right="2280" w:hanging="0"/>
        <w:jc w:val="left"/>
        <w:rPr>
          <w:i/>
          <w:i/>
          <w:sz w:val="24"/>
        </w:rPr>
      </w:pPr>
      <w:r>
        <w:rPr>
          <w:i/>
          <w:sz w:val="24"/>
        </w:rPr>
        <w:t>- os ébrios habituais e os viciados em tóxico;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; IV -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  <w:u w:val="single"/>
        </w:rPr>
        <w:t>revogado</w:t>
      </w:r>
      <w:r>
        <w:rPr>
          <w:i/>
          <w:sz w:val="24"/>
        </w:rPr>
        <w:t>);</w:t>
      </w:r>
    </w:p>
    <w:p>
      <w:pPr>
        <w:pStyle w:val="Normal"/>
        <w:spacing w:before="0" w:after="0"/>
        <w:ind w:left="2383" w:right="0" w:hanging="0"/>
        <w:jc w:val="left"/>
        <w:rPr>
          <w:sz w:val="24"/>
        </w:rPr>
      </w:pPr>
      <w:r>
        <w:rPr>
          <w:i/>
          <w:sz w:val="24"/>
        </w:rPr>
        <w:t>V - os pródigos</w:t>
      </w:r>
      <w:r>
        <w:rPr>
          <w:sz w:val="24"/>
        </w:rPr>
        <w:t>".</w:t>
      </w:r>
    </w:p>
    <w:p>
      <w:pPr>
        <w:pStyle w:val="TextBody"/>
        <w:rPr/>
      </w:pPr>
      <w:r>
        <w:rPr/>
      </w:r>
    </w:p>
    <w:p>
      <w:pPr>
        <w:pStyle w:val="TextBody"/>
        <w:spacing w:before="170" w:after="0"/>
        <w:ind w:left="104" w:right="111" w:firstLine="1694"/>
        <w:jc w:val="both"/>
        <w:rPr/>
      </w:pPr>
      <w:r>
        <w:rPr/>
        <w:t>Até a aprovação da Lei 13.146/2015, tinha como causa determinante de interdição, a pessoa ser acometida de moléstia mental ou psiquiátrica, e em consequência, eram vistas como incapazes, portanto, impossibilitada ou inabilitada, por completo, para gerir os próprios bens e praticar os demais atos da vida civil.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9" w:firstLine="1694"/>
        <w:jc w:val="both"/>
        <w:rPr/>
      </w:pPr>
      <w:r>
        <w:rPr/>
        <w:t>O Código Civil de 2002 exigia o mínimo de aptidão físico-mental para a auto-gestão pessoal e patrimonial, determinando que seja presumida a capacidade "de fato" - havida com a maioridade - assim como a "de direito", havida com a aquisição da personalidade, pelo nascimento com vida; nunca, o contrário, isto é, a incapacidade</w:t>
      </w:r>
      <w:r>
        <w:rPr>
          <w:spacing w:val="0"/>
        </w:rPr>
        <w:t xml:space="preserve"> </w:t>
      </w:r>
      <w:r>
        <w:rPr/>
        <w:t>plena-presumida.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3" w:firstLine="1694"/>
        <w:jc w:val="both"/>
        <w:rPr/>
      </w:pPr>
      <w:r>
        <w:rPr/>
        <w:t>Com a entrada em vigor do chamado “Estatuto da Pessoa com Deficiência” (Lei 13.146/2015), foi criado um sistema normativo inclusivo, que homenageia o princípio da dignidade da pessoa humana em diversos níveis. O Estatuto retira a pessoa com deficiência da categoria de incapaz, ou seja, a pessoa  com deficiência não deve ser mais tecnicamente incapaz, na medida em que a deficiência não afeta a plena</w:t>
      </w:r>
      <w:r>
        <w:rPr>
          <w:spacing w:val="0"/>
        </w:rPr>
        <w:t xml:space="preserve"> </w:t>
      </w:r>
      <w:r>
        <w:rPr/>
        <w:t>capacidade.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</w:sectPr>
        <w:pStyle w:val="TextBody"/>
        <w:spacing w:before="1" w:after="0"/>
        <w:ind w:left="104" w:right="113" w:firstLine="1694"/>
        <w:jc w:val="both"/>
        <w:rPr>
          <w:i/>
          <w:i/>
        </w:rPr>
      </w:pPr>
      <w:r>
        <w:rPr/>
        <w:t xml:space="preserve">Dessa forma, após a vigência da nova Lei, o conceito de capacidade civil foi reconstruído e ampliado, com reflexos significativos no instituto da interdição e da curatela, uma vez que estabelece novo paradigma para o conceito de deficiência, conceituando tal termo em seu artigo 2º, </w:t>
      </w:r>
      <w:r>
        <w:rPr>
          <w:i/>
        </w:rPr>
        <w:t>in verbis</w:t>
      </w:r>
      <w:r>
        <w:rPr/>
        <w:t>: ”</w:t>
      </w:r>
      <w:r>
        <w:rPr>
          <w:i/>
        </w:rPr>
        <w:t>Considera-se pessoa com</w:t>
      </w:r>
    </w:p>
    <w:p>
      <w:pPr>
        <w:pStyle w:val="TextBody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158" w:after="0"/>
        <w:ind w:left="104" w:right="147" w:hanging="0"/>
        <w:jc w:val="both"/>
        <w:rPr>
          <w:sz w:val="24"/>
        </w:rPr>
      </w:pPr>
      <w:r>
        <w:rPr>
          <w:i/>
          <w:sz w:val="24"/>
        </w:rPr>
        <w:t>deficiência aquela que tem impedimento de longo prazo de natureza física, mental, intelectual ou sensorial, o qual, em interação com uma ou mais barreiras, pode obstruir sua participação plena e efetiva na sociedade em igualdade de condições com as demais pessoas</w:t>
      </w:r>
      <w:r>
        <w:rPr>
          <w:sz w:val="24"/>
        </w:rPr>
        <w:t>.“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104" w:right="108" w:firstLine="1694"/>
        <w:jc w:val="both"/>
        <w:rPr>
          <w:sz w:val="24"/>
        </w:rPr>
      </w:pPr>
      <w:r>
        <w:rPr>
          <w:sz w:val="24"/>
        </w:rPr>
        <w:t xml:space="preserve">Os doutrinadores atentos a esta evolução do Direito, vem corroborar com a nova lei para definir com maior precisão o alcance de sua aplicação ao caso concreto. À exemplo, transcrevo o posicionamento elucidativo de Nelson Rosenvald: </w:t>
      </w:r>
      <w:r>
        <w:rPr>
          <w:spacing w:val="0"/>
          <w:sz w:val="24"/>
        </w:rPr>
        <w:t>“</w:t>
      </w:r>
      <w:r>
        <w:rPr>
          <w:i/>
          <w:spacing w:val="0"/>
          <w:sz w:val="24"/>
        </w:rPr>
        <w:t xml:space="preserve">A </w:t>
      </w:r>
      <w:r>
        <w:rPr>
          <w:i/>
          <w:sz w:val="24"/>
        </w:rPr>
        <w:t>incapacidade relativa será materializada alternativamente pelas técnicas da representação e assistência. Em outros termos, a pessoa com deficiência, que pelo Código Civil de 2002 eram consideradas absolutamente incapazes em uma terminologia reducionista, tornam-se relativamente incapazes, a partir da vigência da Lei 13.146/2015</w:t>
      </w:r>
      <w:r>
        <w:rPr>
          <w:sz w:val="24"/>
        </w:rPr>
        <w:t xml:space="preserve">” </w:t>
      </w:r>
      <w:r>
        <w:rPr>
          <w:spacing w:val="0"/>
          <w:sz w:val="24"/>
        </w:rPr>
        <w:t xml:space="preserve">(ROSENVALD, </w:t>
      </w:r>
      <w:r>
        <w:rPr>
          <w:sz w:val="24"/>
        </w:rPr>
        <w:t xml:space="preserve">Nelson. A tomada de decisão apoiada – primeiras linhas sobre um novo modelo jurídico promocional da pessoa com deficiência. In: Revista </w:t>
      </w:r>
      <w:r>
        <w:rPr>
          <w:spacing w:val="0"/>
          <w:sz w:val="24"/>
        </w:rPr>
        <w:t xml:space="preserve">IBDFAM: </w:t>
      </w:r>
      <w:r>
        <w:rPr>
          <w:sz w:val="24"/>
        </w:rPr>
        <w:t xml:space="preserve">famílias e sucessões. Belo Horizonte, </w:t>
      </w:r>
      <w:r>
        <w:rPr>
          <w:spacing w:val="0"/>
          <w:sz w:val="24"/>
        </w:rPr>
        <w:t xml:space="preserve">IBDFAM, </w:t>
      </w:r>
      <w:r>
        <w:rPr>
          <w:sz w:val="24"/>
        </w:rPr>
        <w:t xml:space="preserve">2015, </w:t>
      </w:r>
      <w:r>
        <w:rPr>
          <w:spacing w:val="0"/>
          <w:sz w:val="24"/>
        </w:rPr>
        <w:t>v.10).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21" w:firstLine="1694"/>
        <w:jc w:val="both"/>
        <w:rPr/>
      </w:pPr>
      <w:r>
        <w:rPr/>
        <w:t>O Novo Código de Processo Civil, que começou a vigorar em 18 de março do ano em curso, tratou da interdição na seção IX, a partir do art. 747.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4" w:firstLine="1694"/>
        <w:jc w:val="both"/>
        <w:rPr/>
      </w:pPr>
      <w:r>
        <w:rPr/>
        <w:t>Entre os legitimados a promovê-la estão os parentes do interditando, como no presente caso em que a autora é filha do interditando.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104" w:right="117" w:firstLine="1694"/>
        <w:jc w:val="both"/>
        <w:rPr>
          <w:sz w:val="24"/>
        </w:rPr>
      </w:pPr>
      <w:r>
        <w:rPr>
          <w:sz w:val="24"/>
        </w:rPr>
        <w:t xml:space="preserve">Não obstante o Código de Processo Civil ter admitido a interdição no caso de incapacidade do interditando para a administração de bens, em seu art. 749, tal regramento não há de prevalecer pois está em confronto com norma expressa em lei especial anterior à vigência do referido Código, conforme se extrai do art. 84, </w:t>
      </w:r>
      <w:r>
        <w:rPr>
          <w:i/>
          <w:sz w:val="24"/>
        </w:rPr>
        <w:t>caput</w:t>
      </w:r>
      <w:r>
        <w:rPr>
          <w:sz w:val="24"/>
        </w:rPr>
        <w:t xml:space="preserve">, da Lei 13.146/201, que diz: </w:t>
      </w:r>
      <w:r>
        <w:rPr>
          <w:spacing w:val="0"/>
          <w:sz w:val="24"/>
        </w:rPr>
        <w:t>“</w:t>
      </w:r>
      <w:r>
        <w:rPr>
          <w:i/>
          <w:spacing w:val="0"/>
          <w:sz w:val="24"/>
        </w:rPr>
        <w:t xml:space="preserve">A </w:t>
      </w:r>
      <w:r>
        <w:rPr>
          <w:i/>
          <w:sz w:val="24"/>
        </w:rPr>
        <w:t>pessoa com deficiência tem assegurado o direito ao exercício de sua capacidade legal em igualdade de condições com as demais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pessoas</w:t>
      </w:r>
      <w:r>
        <w:rPr>
          <w:sz w:val="24"/>
        </w:rPr>
        <w:t>”.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1" w:firstLine="1694"/>
        <w:jc w:val="both"/>
        <w:rPr/>
      </w:pPr>
      <w:r>
        <w:rPr/>
        <w:t>Dessa forma, no caso de incapacidade para a prática direta dos atos da vida civil, a solução consiste na nomeação de tutor, preservando o exercício dos direitos do cidadão.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1" w:after="0"/>
        <w:ind w:left="104" w:right="112" w:firstLine="1694"/>
        <w:jc w:val="both"/>
        <w:rPr>
          <w:sz w:val="24"/>
        </w:rPr>
      </w:pPr>
      <w:r>
        <w:rPr>
          <w:sz w:val="24"/>
        </w:rPr>
        <w:t xml:space="preserve">As normas de cunho procedimental previstas no Novo Código de Processo Civil tem aplicação imediata, conforme estabelece o art. 14: </w:t>
      </w:r>
      <w:r>
        <w:rPr>
          <w:spacing w:val="0"/>
          <w:sz w:val="24"/>
        </w:rPr>
        <w:t>“</w:t>
      </w:r>
      <w:r>
        <w:rPr>
          <w:i/>
          <w:spacing w:val="0"/>
          <w:sz w:val="24"/>
        </w:rPr>
        <w:t xml:space="preserve">A </w:t>
      </w:r>
      <w:r>
        <w:rPr>
          <w:i/>
          <w:sz w:val="24"/>
        </w:rPr>
        <w:t>norma processual não retroagirá e será aplicável imediatamente aos processos em curso, respeitados os atos processuais praticados e as situações jurídicas consolidadas sob a vigência da norma revogada</w:t>
      </w:r>
      <w:r>
        <w:rPr>
          <w:sz w:val="24"/>
        </w:rPr>
        <w:t>”. No caso em análise, quando o Código iniciou sua vigência já havia concluída  a  instrução  processual,  estando  os  autos  conclusos  para  a  prolação</w:t>
      </w:r>
      <w:r>
        <w:rPr>
          <w:spacing w:val="0"/>
          <w:sz w:val="24"/>
        </w:rPr>
        <w:t xml:space="preserve"> </w:t>
      </w:r>
      <w:r>
        <w:rPr>
          <w:sz w:val="24"/>
        </w:rPr>
        <w:t>da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58" w:after="0"/>
        <w:ind w:left="104" w:right="0" w:hanging="0"/>
        <w:rPr/>
      </w:pPr>
      <w:r>
        <w:rPr/>
        <w:t>sentença.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06" w:firstLine="1694"/>
        <w:jc w:val="both"/>
        <w:rPr/>
      </w:pPr>
      <w:r>
        <w:rPr/>
        <w:t>Durante o curso do processo, foram produzidas provas suficientes de que o interditando é necessitado da ajuda de terceiros para praticar as atividades da vida civil.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6" w:firstLine="1538"/>
        <w:jc w:val="both"/>
        <w:rPr/>
      </w:pPr>
      <w:r>
        <w:rPr/>
        <w:t>Extrai-se da entrevista, em juízo, efetivada no dia 02 de março de 2016, que o interditando respondeu de forma a demonstrar compreensão e consciência da realidade do mundo em que vive, deixando claro que possui discernimento quanto a sua orientação no tempo e no espaço, conforme abaixo transcrito. Vejamos: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2353" w:right="112" w:hanging="0"/>
        <w:jc w:val="both"/>
        <w:rPr/>
      </w:pPr>
      <w:r>
        <w:rPr>
          <w:i/>
          <w:sz w:val="24"/>
        </w:rPr>
        <w:t>"</w:t>
      </w:r>
      <w:r>
        <w:rPr>
          <w:sz w:val="24"/>
        </w:rPr>
        <w:t>…a MM. Juíza passou a interrogar o interditando, que respondeu: '</w:t>
      </w:r>
      <w:r>
        <w:rPr>
          <w:i/>
          <w:sz w:val="24"/>
        </w:rPr>
        <w:t>que tem conhecimento do pedido de interdição, e  concorda que a filha P. de F. D. seja nomeada como sua curadora para administrar seus bens e representá-lo; que os netos não tem interesse na administração do patrimônio; que P. de F. D. é uma pessoa correta, que trabalha e estuda, fala várias línguas; que acha que hoje é quinta-feira; que não sabe em que ano estamos, pois após ter  sido atacado pela doença não se recorda mais das coisas; que está fazendo tratamento psiquiátrico; que o salário mínimo é R$880,00;  que já conheceu o governador pessoalmente porém não se recorda do nome; que não se recorda do nome do prefeito; que já faz tempo que  não vota; que durante 60 (sessenta) anos praticou a advocacia e ainda advoga'(...)”</w:t>
      </w:r>
    </w:p>
    <w:p>
      <w:pPr>
        <w:pStyle w:val="TextBody"/>
        <w:spacing w:before="170" w:after="0"/>
        <w:ind w:left="104" w:right="110" w:firstLine="1694"/>
        <w:jc w:val="both"/>
        <w:rPr/>
      </w:pPr>
      <w:r>
        <w:rPr/>
        <w:t>Ao analisar o conteúdo do fragmento de texto acima transcrito, conclui-se que o interditando está lúcido, demonstrando orientado no tempo e no espaço, com delimitação na sua capacidade de memorização, decorrente do Alzheimer, enfermidade que o próprio interditando tem conhecimento, pois se justificou ao argumentar o motivo de não se recordar para responder o que lhe foi questionado quanto ao tempo e nome de autoridades políticas da nossa região. Porém, demonstrou noções de conhecimentos gerais ao responder com precisão o valor do salário mínimo, o qual foi recentemente atualizado. Informou, com entusiasmo ter exercido a advocacia durante sessenta anos, fazendo questão de afirmar que “ainda advoga”.</w:t>
      </w:r>
    </w:p>
    <w:p>
      <w:pPr>
        <w:pStyle w:val="TextBody"/>
        <w:rPr/>
      </w:pPr>
      <w:r>
        <w:rPr/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  <w:docGrid w:type="default" w:linePitch="240" w:charSpace="4294965247"/>
        </w:sectPr>
        <w:pStyle w:val="TextBody"/>
        <w:ind w:left="104" w:right="115" w:firstLine="1694"/>
        <w:jc w:val="both"/>
        <w:rPr/>
      </w:pPr>
      <w:r>
        <w:rPr/>
        <w:t>Um fato que chamou atenção desta Julgadora foi que durante a audiência  o  interditando  demonstrou  preocupação  em  identificar  o  que     estava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58" w:after="0"/>
        <w:ind w:left="104" w:right="112" w:hanging="0"/>
        <w:jc w:val="both"/>
        <w:rPr/>
      </w:pPr>
      <w:r>
        <w:rPr/>
        <w:t>acontecendo, sempre perguntando para sua filha, pois devido a diminuição da capacidade auditiva, nem sempre conseguia ouvir o que esta Julgadora e o Promotor de Justiça falavam. Aliado a esta fundamentação, acrescento que o interditando, nasceu em 18 de fevereiro de 1931, portanto, com 85 anos, devido ser um ancião apresenta alterações no humor e falha da memória, problemas com linguagem, falta de interesse em cuidados pessoais, como higiene e peças de vestimenta.</w:t>
      </w:r>
    </w:p>
    <w:p>
      <w:pPr>
        <w:pStyle w:val="TextBody"/>
        <w:rPr/>
      </w:pPr>
      <w:r>
        <w:rPr/>
      </w:r>
    </w:p>
    <w:p>
      <w:pPr>
        <w:pStyle w:val="TextBody"/>
        <w:ind w:left="104" w:right="118" w:firstLine="1694"/>
        <w:jc w:val="both"/>
        <w:rPr/>
      </w:pPr>
      <w:r>
        <w:rPr/>
        <w:t>Diante de tais elementos, é inegável reconhecer que o interditando,  de fato, necessita de adequada curatela para manutenção de seu bem-estar e gerir</w:t>
      </w:r>
      <w:r>
        <w:rPr>
          <w:spacing w:val="0"/>
        </w:rPr>
        <w:t xml:space="preserve"> </w:t>
      </w:r>
      <w:r>
        <w:rPr/>
        <w:t>seu patrimônio, pois no atual estágio da medicina ainda não foi descoberto o tratamento para a cura do Alzheimer, portanto, a tendência do interditando é necessitar de apoio nesta fase da</w:t>
      </w:r>
      <w:r>
        <w:rPr>
          <w:spacing w:val="0"/>
        </w:rPr>
        <w:t xml:space="preserve"> </w:t>
      </w:r>
      <w:r>
        <w:rPr/>
        <w:t>vida.</w:t>
      </w:r>
    </w:p>
    <w:p>
      <w:pPr>
        <w:pStyle w:val="TextBody"/>
        <w:rPr/>
      </w:pPr>
      <w:r>
        <w:rPr/>
      </w:r>
    </w:p>
    <w:p>
      <w:pPr>
        <w:pStyle w:val="TextBody"/>
        <w:ind w:left="104" w:right="113" w:firstLine="1694"/>
        <w:jc w:val="both"/>
        <w:rPr/>
      </w:pPr>
      <w:r>
        <w:rPr/>
        <w:t>Com efeito, a interdição é uma medida extrema, e, por isso, deve ser manejada com cautela, de modo a não privar de capacidade própria de usufruir das faculdades mentais e de capacidade de compreensão e expressão da vontade, tendo- se o cuidado para aferir com a maior precisão possível se, havendo incapacidade,  esta é total ou parcial, pois este é o critério determinante para a interdição. Não havendo incapacidade, a questão se resolve com a simples nomeação de curador, preservando os direitos da pessoa quanto ao exercício de direitos e exteriorização de sua vontade na realização de atos que não envolve capacidade intelectiva de discernimento, como por exemplo os atos de disposição de bens patrimoniais de grande</w:t>
      </w:r>
      <w:r>
        <w:rPr>
          <w:spacing w:val="0"/>
        </w:rPr>
        <w:t xml:space="preserve"> </w:t>
      </w:r>
      <w:r>
        <w:rPr/>
        <w:t>monta.</w:t>
      </w:r>
    </w:p>
    <w:p>
      <w:pPr>
        <w:pStyle w:val="TextBody"/>
        <w:spacing w:before="1" w:after="0"/>
        <w:rPr>
          <w:sz w:val="26"/>
        </w:rPr>
      </w:pPr>
      <w:r>
        <w:rPr>
          <w:sz w:val="26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104" w:right="131" w:firstLine="1694"/>
        <w:jc w:val="both"/>
        <w:rPr>
          <w:i/>
          <w:i/>
          <w:sz w:val="24"/>
        </w:rPr>
      </w:pPr>
      <w:r>
        <w:rPr>
          <w:sz w:val="24"/>
        </w:rPr>
        <w:t xml:space="preserve">Nesse sentido nos ensina Maria Berenice Dias: </w:t>
      </w:r>
      <w:r>
        <w:rPr>
          <w:spacing w:val="0"/>
          <w:sz w:val="24"/>
        </w:rPr>
        <w:t>“</w:t>
      </w:r>
      <w:r>
        <w:rPr>
          <w:i/>
          <w:spacing w:val="0"/>
          <w:sz w:val="24"/>
        </w:rPr>
        <w:t xml:space="preserve">A </w:t>
      </w:r>
      <w:r>
        <w:rPr>
          <w:i/>
          <w:sz w:val="24"/>
        </w:rPr>
        <w:t xml:space="preserve">tendência atual é dar maior liberdade ao curatelado, deixando-o praticar sozinho atos de natureza não patrimonial, cujos efeitos se limitam à esfera existencial, como o caso do reconhecimento de paternidade. A proteção deve ocorrer na exata medida da ausência de discernimento, para que não haja supressão da autonomia, dos espaços de liberdade. As restrições à incapacidade de agir não existem para alhear os incapazes, mas para integrá-los ao mundo estritamente negocial. Segundo Pìetro Perlingieri, é preciso privilegiar, sempre que possível, as escolhas da vida que o deficiente psíquico é capaz, concretamente, de </w:t>
      </w:r>
      <w:r>
        <w:rPr>
          <w:i/>
          <w:spacing w:val="0"/>
          <w:sz w:val="24"/>
        </w:rPr>
        <w:t xml:space="preserve">exprimir, </w:t>
      </w:r>
      <w:r>
        <w:rPr>
          <w:i/>
          <w:sz w:val="24"/>
        </w:rPr>
        <w:t xml:space="preserve">ou em relação às quais manifesta notável propensão. A disciplina da interdição não pode ser traduzida em uma incapacidade legal absoluta, em uma "morte civil". Permitir que o curatelado possa </w:t>
      </w:r>
      <w:r>
        <w:rPr>
          <w:i/>
          <w:spacing w:val="0"/>
          <w:sz w:val="24"/>
        </w:rPr>
        <w:t xml:space="preserve">decidir, </w:t>
      </w:r>
      <w:r>
        <w:rPr>
          <w:i/>
          <w:sz w:val="24"/>
        </w:rPr>
        <w:t>sozinho, questões para as quais possui discernimento é uma forma de tutela da pessoa humana, pois a autonomia da vontade é essencial para o livre desenvolvimento da personalidade. A real necessidade da pessoa com algum tipo de doença mental é menos a substituição na gestão patrimonial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mais,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decorrência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princípio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solidariedade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função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protetiva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do</w:t>
      </w:r>
    </w:p>
    <w:p>
      <w:pPr>
        <w:pStyle w:val="TextBody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158" w:after="0"/>
        <w:ind w:left="104" w:right="106" w:hanging="0"/>
        <w:jc w:val="both"/>
        <w:rPr>
          <w:sz w:val="24"/>
        </w:rPr>
      </w:pPr>
      <w:r>
        <w:rPr>
          <w:i/>
          <w:sz w:val="24"/>
        </w:rPr>
        <w:t>curador, garantir a dignidade, a qualidade de vida, a recuperação da saúde e a inserção social do interditado. Para quem dispõe de discernimento parcial, a interdição deve ser limitada, relativa à prática de certos atos (CC 1.772 e 1.780), cabendo ao juiz delimitar sua extensão (CC1.772). Nesses casos, há a sugestão - mas não a imposição - de que as restrições sejam as mesmas previstas para os pródigos (CC 1.782). Como alerta Sérgio Girschkow Pereira, trata- se de curatela sem interdição. (…) A curatela não leva à incapacidade absoluta do curatelado. Cabe distinguir o grau de incapacidade. Desse modo, o curador representa o curatelado absolutamente incapaz e o assiste quando sua incapacidade é relativa”</w:t>
      </w:r>
      <w:r>
        <w:rPr>
          <w:sz w:val="24"/>
        </w:rPr>
        <w:t>. (DIAS, Maria Berenice. Manual de Direito das Famílias. São Paulo: Revista dos Tribunais, 2015. p. 687-688).</w:t>
      </w:r>
    </w:p>
    <w:p>
      <w:pPr>
        <w:pStyle w:val="TextBody"/>
        <w:spacing w:before="170" w:after="0"/>
        <w:ind w:left="104" w:right="113" w:firstLine="1694"/>
        <w:jc w:val="both"/>
        <w:rPr/>
      </w:pPr>
      <w:r>
        <w:rPr/>
        <w:t>Fazendo uma análise da questão posta quanto a inspeção judicial realizada durante a entrevista ao interditando e o conteúdo do laudo médico de fls. 10, constato que este não pode ser considerado incapaz, pois demonstrou possuir noção da realidade e capacidade para certos atos que não envolvam raciocínio lógico e cálculo de grande complexidade.</w:t>
      </w:r>
    </w:p>
    <w:p>
      <w:pPr>
        <w:pStyle w:val="Normal"/>
        <w:spacing w:before="170" w:after="0"/>
        <w:ind w:left="104" w:right="108" w:firstLine="1694"/>
        <w:jc w:val="both"/>
        <w:rPr/>
      </w:pPr>
      <w:r>
        <w:rPr>
          <w:sz w:val="24"/>
        </w:rPr>
        <w:t xml:space="preserve">A nova redação do parágrafo único do art. 1.772 do Código Civil revela que estamos diante de casos em que o futuro interditado tem suficiente lucidez, de modo que é capaz de ser ouvido quanto a escolha do seu </w:t>
      </w:r>
      <w:r>
        <w:rPr>
          <w:spacing w:val="0"/>
          <w:sz w:val="24"/>
        </w:rPr>
        <w:t xml:space="preserve">curador. </w:t>
      </w:r>
      <w:r>
        <w:rPr>
          <w:sz w:val="24"/>
        </w:rPr>
        <w:t xml:space="preserve">Mais uma vez, o legislador respeita a dignidade do interditando. Em consonância  com essa postura, é o disposto no §1º do art. 12, da Lei 13.146/2015, que diz: </w:t>
      </w:r>
      <w:r>
        <w:rPr>
          <w:i/>
          <w:sz w:val="24"/>
        </w:rPr>
        <w:t>“§ 1</w:t>
      </w:r>
      <w:r>
        <w:rPr>
          <w:i/>
          <w:position w:val="11"/>
          <w:sz w:val="19"/>
          <w:u w:val="single"/>
        </w:rPr>
        <w:t xml:space="preserve">o </w:t>
      </w:r>
      <w:r>
        <w:rPr>
          <w:i/>
          <w:sz w:val="24"/>
        </w:rPr>
        <w:t xml:space="preserve">Em caso de pessoa com deficiência em situação de curatela, deve ser assegurada sua participação, no maior grau possível, para a obtenção de consentimento”. </w:t>
      </w:r>
      <w:r>
        <w:rPr>
          <w:sz w:val="24"/>
        </w:rPr>
        <w:t>Durante a entrevista o interditando revelou com segurança, confiar plenamente em sua filha P. de F. D. para administrar seus negócios, afirmando com certo orgulho e satisfação que ela “</w:t>
      </w:r>
      <w:r>
        <w:rPr>
          <w:i/>
          <w:sz w:val="24"/>
        </w:rPr>
        <w:t>concorda que a filha P. de F. D. seja nomeada como sua curadora para administrar seus bens e representá-lo; que os netos não tem interesse na administração do patrimônio; que P. de F. D. é uma pessoa correta, que trabalha e estuda, fala várias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línguas”.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ind w:left="104" w:right="115" w:firstLine="1694"/>
        <w:jc w:val="both"/>
        <w:rPr/>
      </w:pPr>
      <w:r>
        <w:rPr/>
        <w:t>O Estatuto da Pessoa com Deficiência é expresso ao afirmar que a Curatela é extraordinária e restrita a atos de conteúdo patrimonial ou econômico, desaparecendo assim, a figura de interdição completa e do curador com poderes ilimitados. Dessa forma, o procedimento da curatela continuará existindo, ainda que em nova perspectiva.</w:t>
      </w:r>
    </w:p>
    <w:p>
      <w:pPr>
        <w:pStyle w:val="TextBody"/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  <w:docGrid w:type="default" w:linePitch="240" w:charSpace="4294965247"/>
        </w:sectPr>
        <w:pStyle w:val="TextBody"/>
        <w:spacing w:before="170" w:after="0"/>
        <w:ind w:left="104" w:right="117" w:firstLine="1694"/>
        <w:jc w:val="both"/>
        <w:rPr/>
      </w:pPr>
      <w:r>
        <w:rPr/>
        <w:t>Quanto as provas produzidas aos autos, deverão ser analisadas com prudência  para  se chegar  a  uma  decisão  justa,  de  forma  a  preservar  de maneira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Normal"/>
        <w:spacing w:before="158" w:after="0"/>
        <w:ind w:left="104" w:right="117" w:hanging="0"/>
        <w:jc w:val="both"/>
        <w:rPr>
          <w:i/>
          <w:i/>
          <w:sz w:val="24"/>
        </w:rPr>
      </w:pPr>
      <w:r>
        <w:rPr>
          <w:sz w:val="24"/>
        </w:rPr>
        <w:t>primordial os direitos inerentes à personalidade e liberdade do interditando e também patrimonial. Para isso, o legislador deixou ao julgador a liberdade para formar seu juízo de valor com base no livre convencimento motivado, dispondo no artigo 436 do CPC:</w:t>
      </w:r>
      <w:r>
        <w:rPr>
          <w:i/>
          <w:sz w:val="24"/>
        </w:rPr>
        <w:t>“O juiz não está adstrito ao laudo pericial, podendo formar a sua convicção com outros elementos ou fatos provados nos autos.”</w:t>
      </w:r>
    </w:p>
    <w:p>
      <w:pPr>
        <w:pStyle w:val="TextBody"/>
        <w:spacing w:before="2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TextBody"/>
        <w:spacing w:before="1" w:after="0"/>
        <w:ind w:left="104" w:right="116" w:firstLine="1694"/>
        <w:jc w:val="both"/>
        <w:rPr/>
      </w:pPr>
      <w:r>
        <w:rPr/>
        <w:t>A interdição de uma pessoa para atos da vida civil é uma medida grave, que deve se cercar de todas as cautelas, devendo vir escorada num juízo pleno de certeza e segurança, sob pena de se retirar aquilo que há de mais valioso na vida de cada um, e de transformar um ser humano, que deveria ser livre, em um prisioneiro da sua própria vida.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2" w:firstLine="1694"/>
        <w:jc w:val="both"/>
        <w:rPr/>
      </w:pPr>
      <w:r>
        <w:rPr/>
        <w:t>No caso em análise, não se trata de refutar a prova pericial representada pelo atestado médico de fls. 10, no qual o médico atesta que o examinado está acometido por “demência de Alzheimer – CID G.30.9”, pois as demais provas indicam que o diagnóstico está correto. Vejamos o julgado abaixo: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2368" w:right="136" w:hanging="0"/>
        <w:jc w:val="both"/>
        <w:rPr>
          <w:i/>
          <w:i/>
          <w:sz w:val="24"/>
        </w:rPr>
      </w:pPr>
      <w:r>
        <w:rPr>
          <w:i/>
          <w:spacing w:val="0"/>
          <w:sz w:val="24"/>
        </w:rPr>
        <w:t xml:space="preserve">EMENTA: </w:t>
      </w:r>
      <w:r>
        <w:rPr>
          <w:i/>
          <w:sz w:val="24"/>
        </w:rPr>
        <w:t xml:space="preserve">APELAÇÃO </w:t>
      </w:r>
      <w:r>
        <w:rPr>
          <w:i/>
          <w:spacing w:val="0"/>
          <w:sz w:val="24"/>
        </w:rPr>
        <w:t xml:space="preserve">CÍVEL </w:t>
      </w:r>
      <w:r>
        <w:rPr>
          <w:i/>
          <w:sz w:val="24"/>
        </w:rPr>
        <w:t xml:space="preserve">- INTERDIÇÃO c/c </w:t>
      </w:r>
      <w:r>
        <w:rPr>
          <w:i/>
          <w:spacing w:val="0"/>
          <w:sz w:val="24"/>
        </w:rPr>
        <w:t xml:space="preserve">CURATELA </w:t>
      </w:r>
      <w:r>
        <w:rPr>
          <w:i/>
          <w:sz w:val="24"/>
        </w:rPr>
        <w:t xml:space="preserve">- </w:t>
      </w:r>
      <w:r>
        <w:rPr>
          <w:i/>
          <w:spacing w:val="0"/>
          <w:sz w:val="24"/>
        </w:rPr>
        <w:t xml:space="preserve">PROVA   </w:t>
      </w:r>
      <w:r>
        <w:rPr>
          <w:i/>
          <w:sz w:val="24"/>
        </w:rPr>
        <w:t xml:space="preserve">TÉCNICA   -   PERÍCIA   -   </w:t>
      </w:r>
      <w:r>
        <w:rPr>
          <w:i/>
          <w:spacing w:val="0"/>
          <w:sz w:val="24"/>
        </w:rPr>
        <w:t>INCAPACIDADE  PARCIAL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2368" w:right="132" w:hanging="0"/>
        <w:jc w:val="both"/>
        <w:rPr>
          <w:i/>
          <w:i/>
          <w:sz w:val="24"/>
        </w:rPr>
      </w:pPr>
      <w:r>
        <w:rPr>
          <w:i/>
          <w:sz w:val="24"/>
        </w:rPr>
        <w:t xml:space="preserve">DEMONSTRADA. A finalidade da curatela é principalmente conceder proteção aos incapazes no tocante a seus interesses, seja concernente aos aspectos pessoais, ou aos elementos patrimoniais, assim como garantir a preservação de seus negócios. A interdição, pela própria natureza do instituto, demanda extrema cautela e o máximo rigor na aplicação da lei, pois envolve a perspectiva de tolher ao interditando a livre condução da vida civil como um todo, pelo que  não se pode admitir a sua decretação sem que tenha sido dada a oportunidade de defesa àquele a quem se pretende declarar incapaz, de acordo com o previsto no art. 1.770 do Código Civil. Embora o Magistrado não esteja adstrito ao laudo pericial podendo, até mesmo, decidir de forma contrária a ele, diante da ausência de outros elementos probatórios que lhe permitam fazê-lo, é de se acolher a conclusão da prova técnica, no sentido de que o interditando necessita de assistência de terceiros para alguns atos da vida civil. (TJMG - Apelação Cível 1.0210.13.000089-1/001, Relator(a): Des.(a) Dárcio Lopardi Mendes , 4ª CÂMARA </w:t>
      </w:r>
      <w:r>
        <w:rPr>
          <w:i/>
          <w:spacing w:val="0"/>
          <w:sz w:val="24"/>
        </w:rPr>
        <w:t xml:space="preserve">CÍVEL, </w:t>
      </w:r>
      <w:r>
        <w:rPr>
          <w:i/>
          <w:sz w:val="24"/>
        </w:rPr>
        <w:t>julgamento em 03/03/2016, publicação da súmula em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10/03/2016)</w:t>
      </w:r>
    </w:p>
    <w:p>
      <w:pPr>
        <w:pStyle w:val="TextBody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extBody"/>
        <w:spacing w:before="158" w:after="0"/>
        <w:ind w:left="104" w:right="110" w:firstLine="1680"/>
        <w:jc w:val="both"/>
        <w:rPr/>
      </w:pPr>
      <w:r>
        <w:rPr/>
        <w:t xml:space="preserve">Portanto, podemos observar que com o advento da Lei nº  13.146/2015, pessoas com deficiência mental ou intelectual deixaram de ser consideradas absolutamente incapazes. </w:t>
      </w:r>
      <w:r>
        <w:rPr>
          <w:spacing w:val="0"/>
        </w:rPr>
        <w:t xml:space="preserve">Todavia, </w:t>
      </w:r>
      <w:r>
        <w:rPr/>
        <w:t xml:space="preserve">em situações excepcionais, a pessoa com deficiência mental ou intelectual poderá ser submetida a curatela, no seu interesse exclusivo e não de parentes ou terceiros. Essa curatela, ao contrário da interdição total anterior, deve </w:t>
      </w:r>
      <w:r>
        <w:rPr>
          <w:spacing w:val="0"/>
        </w:rPr>
        <w:t xml:space="preserve">ser, </w:t>
      </w:r>
      <w:r>
        <w:rPr/>
        <w:t xml:space="preserve">de acordo com o artigo 84 do Estatuto da Pessoa com Deficiência, proporcional às necessidades e circunstâncias de cada caso. </w:t>
      </w:r>
      <w:r>
        <w:rPr>
          <w:spacing w:val="0"/>
        </w:rPr>
        <w:t xml:space="preserve">Tem </w:t>
      </w:r>
      <w:r>
        <w:rPr/>
        <w:t>natureza, portanto, de medida protetiva e não de interdição de exercício de</w:t>
      </w:r>
      <w:r>
        <w:rPr>
          <w:spacing w:val="0"/>
        </w:rPr>
        <w:t xml:space="preserve"> </w:t>
      </w:r>
      <w:r>
        <w:rPr/>
        <w:t>direitos.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3" w:firstLine="1680"/>
        <w:jc w:val="both"/>
        <w:rPr/>
      </w:pPr>
      <w:r>
        <w:rPr/>
        <w:t>Com esta nova mentalidade, a Lei veio efetivar o princípio da dignidade da pessoa humana, direcionando o olhar para o ser com limitação para seus negócios, de forma a visualizá-lo como sujeito de direitos, e não como objeto caracterizado como incapaz, termo este de cunho pejorativo que pode ser definido como: “impossibilitado, inapto, inepto, inábil”. Atributos estes que dirigidos a uma pessoa, com o mínimo de discernimento, poderá ferir seu caráter, honra e afetar, negativamente, sua personalidade e alto estima.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09" w:firstLine="1680"/>
        <w:jc w:val="both"/>
        <w:rPr/>
      </w:pPr>
      <w:r>
        <w:rPr/>
        <w:t xml:space="preserve">A curatela apenas afetará os negócios jurídicos relacionados aos direitos de natureza patrimonial, não alcança nem restringe os direitos de família (inclusive de se </w:t>
      </w:r>
      <w:r>
        <w:rPr>
          <w:spacing w:val="0"/>
        </w:rPr>
        <w:t xml:space="preserve">casar, </w:t>
      </w:r>
      <w:r>
        <w:rPr/>
        <w:t>de ter filhos e exercer os direitos da parentalidade), do trabalho, eleitoral (de votar e ser votado), de ser testemunha e de obter documentos oficiais de interesse da pessoa com</w:t>
      </w:r>
      <w:r>
        <w:rPr>
          <w:spacing w:val="0"/>
        </w:rPr>
        <w:t xml:space="preserve"> </w:t>
      </w:r>
      <w:r>
        <w:rPr/>
        <w:t>deficiência.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3" w:firstLine="1680"/>
        <w:jc w:val="both"/>
        <w:rPr/>
      </w:pPr>
      <w:r>
        <w:rPr/>
        <w:t>Assim, não há que se falar mais em “interdição”, que, em nosso direito, sempre teve por finalidade vedar o exercício, pela pessoa com deficiência mental ou intelectual, de todos os atos da vida civil, impondo-se a mediação ou atuação exclusiva de seu curador. Cuidar-se-á, apenas, de curatela específica, para determinados atos.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1600" w:right="1020" w:header="1286" w:top="2260" w:footer="1267" w:bottom="1460" w:gutter="0"/>
          <w:pgNumType w:fmt="decimal"/>
          <w:formProt w:val="false"/>
          <w:textDirection w:val="lrTb"/>
          <w:docGrid w:type="default" w:linePitch="240" w:charSpace="4294965247"/>
        </w:sectPr>
        <w:pStyle w:val="TextBody"/>
        <w:spacing w:before="1" w:after="0"/>
        <w:ind w:left="104" w:right="106" w:firstLine="1680"/>
        <w:jc w:val="both"/>
        <w:rPr/>
      </w:pPr>
      <w:r>
        <w:rPr/>
        <w:t xml:space="preserve">Com base na fundamentação supra e nos termos do inciso I do art. 487 do Novo Código de Processo Civil, </w:t>
      </w:r>
      <w:r>
        <w:rPr>
          <w:b/>
        </w:rPr>
        <w:t>JULGO EXTINTO O PROCESSO COM RESOLUÇÃO DO MÉRITO</w:t>
      </w:r>
      <w:r>
        <w:rPr/>
        <w:t xml:space="preserve">, e </w:t>
      </w:r>
      <w:r>
        <w:rPr>
          <w:b/>
        </w:rPr>
        <w:t xml:space="preserve">ACOLHO PARCIALMENTE </w:t>
      </w:r>
      <w:r>
        <w:rPr/>
        <w:t xml:space="preserve">a pretensão da autora, em consequência NOMEIO </w:t>
      </w:r>
      <w:r>
        <w:rPr>
          <w:sz w:val="24"/>
        </w:rPr>
        <w:t xml:space="preserve">P. de F. D. </w:t>
      </w:r>
      <w:r>
        <w:rPr/>
        <w:t xml:space="preserve">para exercer o encargo de curadora de seu pai </w:t>
      </w:r>
      <w:r>
        <w:rPr>
          <w:sz w:val="24"/>
        </w:rPr>
        <w:t>J. P. de F.</w:t>
      </w:r>
      <w:r>
        <w:rPr>
          <w:spacing w:val="0"/>
          <w:sz w:val="24"/>
        </w:rPr>
        <w:t xml:space="preserve"> </w:t>
      </w:r>
      <w:r>
        <w:rPr>
          <w:sz w:val="24"/>
        </w:rPr>
        <w:t>D.</w:t>
      </w:r>
      <w:r>
        <w:rPr/>
        <w:t xml:space="preserve">. Em recorrência do encargo, deverá representá- lo nos atos que importem na administração de bens e valores, celebração de contratos e outros que exijam maior capacidade intelectual, além dos atos previstos no artigo 1.782, </w:t>
      </w:r>
      <w:r>
        <w:rPr>
          <w:i/>
        </w:rPr>
        <w:t>caput</w:t>
      </w:r>
      <w:r>
        <w:rPr/>
        <w:t>, do Código Civil (emprestar, transigir, dar quitação, alienar, hipotecar, demandar ou ser demandado e atos que não sejam de mera administração), na forma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58" w:after="0"/>
        <w:ind w:left="104" w:right="0" w:hanging="0"/>
        <w:rPr/>
      </w:pPr>
      <w:r>
        <w:rPr/>
        <w:t>do art. 84, §1º da Lei nº 13.146/2015.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04" w:firstLine="1680"/>
        <w:jc w:val="both"/>
        <w:rPr>
          <w:rFonts w:ascii="Times New Roman" w:hAnsi="Times New Roman"/>
        </w:rPr>
      </w:pPr>
      <w:r>
        <w:rPr/>
        <w:t xml:space="preserve">A curadora deverá assinar o respectivo </w:t>
      </w:r>
      <w:r>
        <w:rPr>
          <w:spacing w:val="0"/>
        </w:rPr>
        <w:t xml:space="preserve">Termo </w:t>
      </w:r>
      <w:r>
        <w:rPr/>
        <w:t>de Compromisso no prazo de 05 (cinco) dias, para bem e fielmente cumprir o encargo, prestando contas  de sua administração, na forma do artigo 1.774 do Código Civil, a qual será anual, conforme determina o art. 84, §4º, da Lei nº</w:t>
      </w:r>
      <w:r>
        <w:rPr>
          <w:spacing w:val="0"/>
        </w:rPr>
        <w:t xml:space="preserve"> </w:t>
      </w:r>
      <w:r>
        <w:rPr>
          <w:rFonts w:ascii="Times New Roman" w:hAnsi="Times New Roman"/>
        </w:rPr>
        <w:t>13.146/2015.</w:t>
      </w:r>
    </w:p>
    <w:p>
      <w:pPr>
        <w:pStyle w:val="TextBody"/>
        <w:spacing w:before="6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TextBody"/>
        <w:ind w:left="1783" w:right="0" w:hanging="0"/>
        <w:rPr/>
      </w:pPr>
      <w:r>
        <w:rPr/>
        <w:t>Intimem-se as partes e o Ministério Público. Publique-se.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3" w:firstLine="1680"/>
        <w:jc w:val="both"/>
        <w:rPr/>
      </w:pPr>
      <w:r>
        <w:rPr/>
        <w:t>Custas iniciais já recolhidas à fl. 11, devendo os autos serem encaminhados à contadoria judicial, para apuração das custas finais, as quais ficarão a cargo da requerente, se</w:t>
      </w:r>
      <w:r>
        <w:rPr>
          <w:spacing w:val="0"/>
        </w:rPr>
        <w:t xml:space="preserve"> houver.</w:t>
      </w:r>
    </w:p>
    <w:p>
      <w:pPr>
        <w:pStyle w:val="TextBody"/>
        <w:spacing w:before="2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104" w:right="118" w:firstLine="1680"/>
        <w:jc w:val="both"/>
        <w:rPr/>
      </w:pPr>
      <w:r>
        <w:rPr/>
        <w:t>Transitada em julgado, tome-se o compromisso e lavrem-se o termo de compromisso e interdição.</w:t>
      </w:r>
    </w:p>
    <w:p>
      <w:pPr>
        <w:pStyle w:val="TextBody"/>
        <w:rPr/>
      </w:pPr>
      <w:r>
        <w:rPr/>
      </w:r>
    </w:p>
    <w:p>
      <w:pPr>
        <w:pStyle w:val="TextBody"/>
        <w:spacing w:lineRule="auto" w:line="480" w:before="170" w:after="0"/>
        <w:ind w:left="1798" w:right="3444" w:hanging="14"/>
        <w:rPr/>
      </w:pPr>
      <w:r>
        <w:rPr/>
        <w:t>Publique-se. Registre-se. Intime-se. Rio Verde-GO, 21 de março de 2016.</w:t>
      </w:r>
    </w:p>
    <w:p>
      <w:pPr>
        <w:pStyle w:val="TextBody"/>
        <w:rPr/>
      </w:pPr>
      <w:r>
        <w:rPr/>
      </w:r>
    </w:p>
    <w:p>
      <w:pPr>
        <w:pStyle w:val="Heading1"/>
        <w:ind w:left="3396" w:right="3395" w:hanging="0"/>
        <w:jc w:val="center"/>
        <w:rPr/>
      </w:pPr>
      <w:r>
        <w:rPr/>
        <w:t>Coraci Pereira da Silva Juíza de Direito</w:t>
      </w:r>
    </w:p>
    <w:sectPr>
      <w:headerReference w:type="default" r:id="rId16"/>
      <w:footerReference w:type="default" r:id="rId17"/>
      <w:type w:val="nextPage"/>
      <w:pgSz w:w="11906" w:h="16838"/>
      <w:pgMar w:left="1600" w:right="1020" w:header="1286" w:top="2260" w:footer="1267" w:bottom="146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ao U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5908040</wp:posOffset>
              </wp:positionH>
              <wp:positionV relativeFrom="page">
                <wp:posOffset>9749155</wp:posOffset>
              </wp:positionV>
              <wp:extent cx="946150" cy="23368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2336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162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Coraci Pereira da Silva</w:t>
                          </w:r>
                        </w:p>
                        <w:p>
                          <w:pPr>
                            <w:pStyle w:val="FrameContents"/>
                            <w:spacing w:lineRule="exact" w:line="188" w:before="0" w:after="0"/>
                            <w:ind w:left="46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Juíza de Direito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.5pt;height:18.4pt;mso-wrap-distance-left:9pt;mso-wrap-distance-right:9pt;mso-wrap-distance-top:0pt;mso-wrap-distance-bottom:0pt;margin-top:767.65pt;mso-position-vertical-relative:page;margin-left:465.2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162" w:before="0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Coraci Pereira da Silva</w:t>
                    </w:r>
                  </w:p>
                  <w:p>
                    <w:pPr>
                      <w:pStyle w:val="FrameContents"/>
                      <w:spacing w:lineRule="exact" w:line="188" w:before="0" w:after="0"/>
                      <w:ind w:left="46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Juíza de Direito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1080770</wp:posOffset>
          </wp:positionH>
          <wp:positionV relativeFrom="page">
            <wp:posOffset>816610</wp:posOffset>
          </wp:positionV>
          <wp:extent cx="1609090" cy="61976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3001010</wp:posOffset>
              </wp:positionH>
              <wp:positionV relativeFrom="page">
                <wp:posOffset>899795</wp:posOffset>
              </wp:positionV>
              <wp:extent cx="1814195" cy="49022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195" cy="4902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35" w:before="0" w:after="0"/>
                            <w:ind w:left="20" w:right="0" w:hanging="0"/>
                            <w:jc w:val="left"/>
                            <w:rPr>
                              <w:rFonts w:ascii="Lao UI" w:hAnsi="Lao UI"/>
                              <w:sz w:val="22"/>
                            </w:rPr>
                          </w:pPr>
                          <w:r>
                            <w:rPr>
                              <w:rFonts w:ascii="Lao UI" w:hAnsi="Lao UI"/>
                              <w:color w:val="4B4B4B"/>
                              <w:sz w:val="22"/>
                            </w:rPr>
                            <w:t>PODER JUDICIÁRIO</w:t>
                          </w:r>
                        </w:p>
                        <w:p>
                          <w:pPr>
                            <w:pStyle w:val="FrameContents"/>
                            <w:spacing w:lineRule="exact" w:line="256" w:before="0" w:after="0"/>
                            <w:ind w:left="20" w:right="0" w:hanging="0"/>
                            <w:jc w:val="left"/>
                            <w:rPr>
                              <w:rFonts w:ascii="Lao UI" w:hAnsi="Lao UI"/>
                              <w:sz w:val="22"/>
                            </w:rPr>
                          </w:pPr>
                          <w:r>
                            <w:rPr>
                              <w:rFonts w:ascii="Lao UI" w:hAnsi="Lao UI"/>
                              <w:color w:val="4B4B4B"/>
                              <w:sz w:val="22"/>
                            </w:rPr>
                            <w:t>Comarca de Rio Verde</w:t>
                          </w:r>
                        </w:p>
                        <w:p>
                          <w:pPr>
                            <w:pStyle w:val="FrameContents"/>
                            <w:spacing w:lineRule="exact" w:line="274" w:before="0" w:after="0"/>
                            <w:ind w:left="20" w:right="0" w:hanging="0"/>
                            <w:jc w:val="left"/>
                            <w:rPr>
                              <w:rFonts w:ascii="Lao UI" w:hAnsi="Lao UI"/>
                              <w:sz w:val="22"/>
                            </w:rPr>
                          </w:pPr>
                          <w:r>
                            <w:rPr>
                              <w:rFonts w:ascii="Lao UI" w:hAnsi="Lao UI"/>
                              <w:color w:val="4B4B4B"/>
                              <w:sz w:val="22"/>
                            </w:rPr>
                            <w:t>Vara de Família e Sucessões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42.85pt;height:38.6pt;mso-wrap-distance-left:9pt;mso-wrap-distance-right:9pt;mso-wrap-distance-top:0pt;mso-wrap-distance-bottom:0pt;margin-top:70.85pt;mso-position-vertical-relative:page;margin-left:236.3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35" w:before="0" w:after="0"/>
                      <w:ind w:left="20" w:right="0" w:hanging="0"/>
                      <w:jc w:val="left"/>
                      <w:rPr>
                        <w:rFonts w:ascii="Lao UI" w:hAnsi="Lao UI"/>
                        <w:sz w:val="22"/>
                      </w:rPr>
                    </w:pPr>
                    <w:r>
                      <w:rPr>
                        <w:rFonts w:ascii="Lao UI" w:hAnsi="Lao UI"/>
                        <w:color w:val="4B4B4B"/>
                        <w:sz w:val="22"/>
                      </w:rPr>
                      <w:t>PODER JUDICIÁRIO</w:t>
                    </w:r>
                  </w:p>
                  <w:p>
                    <w:pPr>
                      <w:pStyle w:val="FrameContents"/>
                      <w:spacing w:lineRule="exact" w:line="256" w:before="0" w:after="0"/>
                      <w:ind w:left="20" w:right="0" w:hanging="0"/>
                      <w:jc w:val="left"/>
                      <w:rPr>
                        <w:rFonts w:ascii="Lao UI" w:hAnsi="Lao UI"/>
                        <w:sz w:val="22"/>
                      </w:rPr>
                    </w:pPr>
                    <w:r>
                      <w:rPr>
                        <w:rFonts w:ascii="Lao UI" w:hAnsi="Lao UI"/>
                        <w:color w:val="4B4B4B"/>
                        <w:sz w:val="22"/>
                      </w:rPr>
                      <w:t>Comarca de Rio Verde</w:t>
                    </w:r>
                  </w:p>
                  <w:p>
                    <w:pPr>
                      <w:pStyle w:val="FrameContents"/>
                      <w:spacing w:lineRule="exact" w:line="274" w:before="0" w:after="0"/>
                      <w:ind w:left="20" w:right="0" w:hanging="0"/>
                      <w:jc w:val="left"/>
                      <w:rPr>
                        <w:rFonts w:ascii="Lao UI" w:hAnsi="Lao UI"/>
                        <w:sz w:val="22"/>
                      </w:rPr>
                    </w:pPr>
                    <w:r>
                      <w:rPr>
                        <w:rFonts w:ascii="Lao UI" w:hAnsi="Lao UI"/>
                        <w:color w:val="4B4B4B"/>
                        <w:sz w:val="22"/>
                      </w:rPr>
                      <w:t>Vara de Família e Sucessões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2384" w:hanging="182"/>
      </w:pPr>
      <w:rPr>
        <w:sz w:val="24"/>
        <w:spacing w:val="0"/>
        <w:i/>
        <w:szCs w:val="24"/>
        <w:w w:val="100"/>
      </w:rPr>
    </w:lvl>
    <w:lvl w:ilvl="1">
      <w:start w:val="1"/>
      <w:numFmt w:val="bullet"/>
      <w:lvlText w:val=""/>
      <w:lvlJc w:val="left"/>
      <w:pPr>
        <w:ind w:left="3070" w:hanging="18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760" w:hanging="18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50" w:hanging="1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40" w:hanging="1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30" w:hanging="1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0" w:hanging="1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10" w:hanging="1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00" w:hanging="18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Palatino Linotype" w:hAnsi="Palatino Linotype" w:eastAsia="Palatino Linotype" w:cs="Palatino Linotype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798" w:right="0" w:hanging="0"/>
      <w:outlineLvl w:val="1"/>
    </w:pPr>
    <w:rPr>
      <w:rFonts w:ascii="Palatino Linotype" w:hAnsi="Palatino Linotype" w:eastAsia="Palatino Linotype" w:cs="Palatino Linotype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Palatino Linotype" w:cs="Palatino Linotype"/>
      <w:i/>
      <w:spacing w:val="0"/>
      <w:w w:val="100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ind w:left="2384" w:right="0" w:hanging="0"/>
    </w:pPr>
    <w:rPr>
      <w:rFonts w:ascii="Palatino Linotype" w:hAnsi="Palatino Linotype" w:eastAsia="Palatino Linotype" w:cs="Palatino Linotype"/>
    </w:rPr>
  </w:style>
  <w:style w:type="paragraph" w:styleId="TableParagraph">
    <w:name w:val="Table Paragraph"/>
    <w:basedOn w:val="Normal"/>
    <w:uiPriority w:val="1"/>
    <w:qFormat/>
    <w:pPr/>
    <w:rPr/>
  </w:style>
  <w:style w:type="paragraph" w:styleId="Header">
    <w:name w:val="Header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LibreOffice/4.4.3.2$Linux_X86_64 LibreOffice_project/40m0$Build-2</Application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2016-03-30T19:58:50Z</dcterms:created>
  <dc:creator>TJGO</dc:creator>
  <dc:language>pt-BR</dc:language>
  <dcterms:modified xsi:type="dcterms:W3CDTF">2016-03-30T17:03:14Z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2016-03-22T00:00:00Z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2016-03-30T00:00:00Z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